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before="280" w:line="360" w:lineRule="auto"/>
        <w:jc w:val="both"/>
        <w:rPr>
          <w:b w:val="1"/>
          <w:u w:val="single"/>
        </w:rPr>
      </w:pPr>
      <w:r w:rsidDel="00000000" w:rsidR="00000000" w:rsidRPr="00000000">
        <w:rPr>
          <w:b w:val="1"/>
          <w:u w:val="single"/>
          <w:rtl w:val="0"/>
        </w:rPr>
        <w:t xml:space="preserve">Funding 2023/2024</w:t>
      </w:r>
    </w:p>
    <w:p w:rsidR="00000000" w:rsidDel="00000000" w:rsidP="00000000" w:rsidRDefault="00000000" w:rsidRPr="00000000" w14:paraId="00000002">
      <w:pPr>
        <w:shd w:fill="ffffff" w:val="clear"/>
        <w:spacing w:after="280" w:before="280" w:line="360" w:lineRule="auto"/>
        <w:jc w:val="both"/>
        <w:rPr>
          <w:u w:val="single"/>
        </w:rPr>
      </w:pPr>
      <w:r w:rsidDel="00000000" w:rsidR="00000000" w:rsidRPr="00000000">
        <w:rPr>
          <w:b w:val="1"/>
          <w:u w:val="single"/>
          <w:rtl w:val="0"/>
        </w:rPr>
        <w:t xml:space="preserve">National Tutoring Programme</w:t>
      </w:r>
      <w:r w:rsidDel="00000000" w:rsidR="00000000" w:rsidRPr="00000000">
        <w:rPr>
          <w:u w:val="single"/>
          <w:rtl w:val="0"/>
        </w:rPr>
        <w:t xml:space="preserve"> </w:t>
      </w:r>
    </w:p>
    <w:p w:rsidR="00000000" w:rsidDel="00000000" w:rsidP="00000000" w:rsidRDefault="00000000" w:rsidRPr="00000000" w14:paraId="00000003">
      <w:pPr>
        <w:shd w:fill="ffffff" w:val="clear"/>
        <w:spacing w:after="280" w:before="280" w:line="360" w:lineRule="auto"/>
        <w:jc w:val="both"/>
        <w:rPr>
          <w:color w:val="ff0000"/>
        </w:rPr>
      </w:pPr>
      <w:r w:rsidDel="00000000" w:rsidR="00000000" w:rsidRPr="00000000">
        <w:rPr>
          <w:color w:val="0d0d0d"/>
          <w:highlight w:val="white"/>
          <w:rtl w:val="0"/>
        </w:rPr>
        <w:t xml:space="preserve">The National Tutoring Programme (NTP) is a government initiative aimed at providing additional academic support to students across the UK. This year, funding has enabled schools to utilise NTP funds to cover 50% of the total costs incurred in delivering tutoring services.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360" w:lineRule="auto"/>
              <w:jc w:val="both"/>
              <w:rPr/>
            </w:pPr>
            <w:r w:rsidDel="00000000" w:rsidR="00000000" w:rsidRPr="00000000">
              <w:rPr>
                <w:rtl w:val="0"/>
              </w:rPr>
              <w:t xml:space="preserve">Academic year </w:t>
            </w:r>
          </w:p>
          <w:p w:rsidR="00000000" w:rsidDel="00000000" w:rsidP="00000000" w:rsidRDefault="00000000" w:rsidRPr="00000000" w14:paraId="00000005">
            <w:pPr>
              <w:widowControl w:val="0"/>
              <w:spacing w:line="360" w:lineRule="auto"/>
              <w:jc w:val="both"/>
              <w:rPr/>
            </w:pPr>
            <w:r w:rsidDel="00000000" w:rsidR="00000000" w:rsidRPr="00000000">
              <w:rPr>
                <w:rtl w:val="0"/>
              </w:rPr>
              <w:t xml:space="preserve">2023-2024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360" w:lineRule="auto"/>
              <w:jc w:val="both"/>
              <w:rPr/>
            </w:pPr>
            <w:r w:rsidDel="00000000" w:rsidR="00000000" w:rsidRPr="00000000">
              <w:rPr>
                <w:rtl w:val="0"/>
              </w:rPr>
              <w:t xml:space="preserve">Total allocation: </w:t>
            </w:r>
          </w:p>
          <w:p w:rsidR="00000000" w:rsidDel="00000000" w:rsidP="00000000" w:rsidRDefault="00000000" w:rsidRPr="00000000" w14:paraId="00000007">
            <w:pPr>
              <w:widowControl w:val="0"/>
              <w:spacing w:line="360" w:lineRule="auto"/>
              <w:jc w:val="both"/>
              <w:rPr/>
            </w:pPr>
            <w:r w:rsidDel="00000000" w:rsidR="00000000" w:rsidRPr="00000000">
              <w:rPr>
                <w:rtl w:val="0"/>
              </w:rPr>
              <w:t xml:space="preserve">£4455 (additional 50% funded by the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360" w:lineRule="auto"/>
              <w:jc w:val="both"/>
              <w:rPr/>
            </w:pPr>
            <w:r w:rsidDel="00000000" w:rsidR="00000000" w:rsidRPr="00000000">
              <w:rPr>
                <w:rtl w:val="0"/>
              </w:rPr>
              <w:t xml:space="preserve">Total number of pupils assisted: 107</w:t>
            </w:r>
          </w:p>
        </w:tc>
      </w:tr>
    </w:tbl>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jc w:val="both"/>
        <w:rPr>
          <w:color w:val="0d0d0d"/>
        </w:rPr>
      </w:pPr>
      <w:r w:rsidDel="00000000" w:rsidR="00000000" w:rsidRPr="00000000">
        <w:rPr>
          <w:color w:val="0d0d0d"/>
          <w:rtl w:val="0"/>
        </w:rPr>
        <w:t xml:space="preserve">At St Michael’s, we have received the total allocation of £4455 in NTP funding, and after careful consideration, we have allocated this funding towards a 1:1 mentoring programme. This programme primarily targets Pupil Premium and SEND students, focusing on exploring career options and educational pathways. Through this initiative, we have assisted a total of</w:t>
      </w:r>
      <w:r w:rsidDel="00000000" w:rsidR="00000000" w:rsidRPr="00000000">
        <w:rPr>
          <w:color w:val="ff0000"/>
          <w:rtl w:val="0"/>
        </w:rPr>
        <w:t xml:space="preserve"> </w:t>
      </w:r>
      <w:r w:rsidDel="00000000" w:rsidR="00000000" w:rsidRPr="00000000">
        <w:rPr>
          <w:rtl w:val="0"/>
        </w:rPr>
        <w:t xml:space="preserve">40</w:t>
      </w:r>
      <w:r w:rsidDel="00000000" w:rsidR="00000000" w:rsidRPr="00000000">
        <w:rPr>
          <w:color w:val="ff0000"/>
          <w:rtl w:val="0"/>
        </w:rPr>
        <w:t xml:space="preserve"> </w:t>
      </w:r>
      <w:r w:rsidDel="00000000" w:rsidR="00000000" w:rsidRPr="00000000">
        <w:rPr>
          <w:color w:val="0d0d0d"/>
          <w:rtl w:val="0"/>
        </w:rPr>
        <w:t xml:space="preserve">students, providing them with tailored guidance and support to help them navigate their educational journey and future aspirations.</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jc w:val="both"/>
        <w:rPr>
          <w:color w:val="0d0d0d"/>
        </w:rPr>
      </w:pPr>
      <w:r w:rsidDel="00000000" w:rsidR="00000000" w:rsidRPr="00000000">
        <w:rPr>
          <w:color w:val="0d0d0d"/>
          <w:rtl w:val="0"/>
        </w:rPr>
        <w:t xml:space="preserve">In addition to the 1:1 mentoring programme, we have also organised eight diverse and exciting extended learning opportunities facilitated by our specialist teachers. These sessions cater to a wide range of subjects and interests, providing enrichment beyond the standard curriculum. A total of 67 students, spanning from Year 7 to Year 11, are currently participating in these extended learning opportunities, further enhancing their educational experience and fostering a passion for learning.</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jc w:val="both"/>
        <w:rPr>
          <w:color w:val="0d0d0d"/>
        </w:rPr>
      </w:pPr>
      <w:r w:rsidDel="00000000" w:rsidR="00000000" w:rsidRPr="00000000">
        <w:rPr>
          <w:color w:val="0d0d0d"/>
          <w:rtl w:val="0"/>
        </w:rPr>
        <w:t xml:space="preserve">Furthermore, we have strategically allocated a portion of out funding to provide individualised mentoring for students in Year 7, 9, 10 and 11, ensuring that each student received a dedicated 20 minute session. During these sessions, mentors offered tailored support and guidance to facilitate a smooth transition into their current school year, addressing any challenges they might face. Students were also encouraged to discuss their academic needs, allowing mentors to identify and provide assistance in areas where they required help with their studies. Additionally, these sessions focused on enhancing study skills, equipping students with effective techniques to improve their learning and academic performance. This personalised approach not only supports their immediate educational needs but also fosters long-term academic success and resilience. </w:t>
      </w:r>
    </w:p>
    <w:p w:rsidR="00000000" w:rsidDel="00000000" w:rsidP="00000000" w:rsidRDefault="00000000" w:rsidRPr="00000000" w14:paraId="0000000C">
      <w:pPr>
        <w:shd w:fill="ffffff" w:val="clear"/>
        <w:spacing w:after="280" w:before="280" w:line="360" w:lineRule="auto"/>
        <w:jc w:val="both"/>
        <w:rPr>
          <w:color w:val="ff0000"/>
        </w:rPr>
      </w:pPr>
      <w:r w:rsidDel="00000000" w:rsidR="00000000" w:rsidRPr="00000000">
        <w:rPr>
          <w:rtl w:val="0"/>
        </w:rPr>
      </w:r>
    </w:p>
    <w:p w:rsidR="00000000" w:rsidDel="00000000" w:rsidP="00000000" w:rsidRDefault="00000000" w:rsidRPr="00000000" w14:paraId="0000000D">
      <w:pPr>
        <w:shd w:fill="ffffff" w:val="clear"/>
        <w:spacing w:after="280" w:before="280" w:line="360" w:lineRule="auto"/>
        <w:jc w:val="both"/>
        <w:rPr>
          <w:b w:val="1"/>
        </w:rPr>
      </w:pPr>
      <w:r w:rsidDel="00000000" w:rsidR="00000000" w:rsidRPr="00000000">
        <w:rPr>
          <w:b w:val="1"/>
          <w:rtl w:val="0"/>
        </w:rPr>
        <w:t xml:space="preserve">16-19 Tuition Fund</w:t>
      </w:r>
    </w:p>
    <w:p w:rsidR="00000000" w:rsidDel="00000000" w:rsidP="00000000" w:rsidRDefault="00000000" w:rsidRPr="00000000" w14:paraId="0000000E">
      <w:pPr>
        <w:shd w:fill="ffffff" w:val="clear"/>
        <w:spacing w:after="280" w:before="280" w:line="360" w:lineRule="auto"/>
        <w:jc w:val="both"/>
        <w:rPr>
          <w:b w:val="1"/>
        </w:rPr>
      </w:pPr>
      <w:r w:rsidDel="00000000" w:rsidR="00000000" w:rsidRPr="00000000">
        <w:rPr>
          <w:rtl w:val="0"/>
        </w:rPr>
      </w:r>
    </w:p>
    <w:p w:rsidR="00000000" w:rsidDel="00000000" w:rsidP="00000000" w:rsidRDefault="00000000" w:rsidRPr="00000000" w14:paraId="0000000F">
      <w:pPr>
        <w:shd w:fill="ffffff" w:val="clear"/>
        <w:spacing w:after="280" w:before="280" w:line="360" w:lineRule="auto"/>
        <w:jc w:val="both"/>
        <w:rPr>
          <w:color w:val="ff000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360" w:lineRule="auto"/>
              <w:jc w:val="both"/>
              <w:rPr/>
            </w:pPr>
            <w:r w:rsidDel="00000000" w:rsidR="00000000" w:rsidRPr="00000000">
              <w:rPr>
                <w:rtl w:val="0"/>
              </w:rPr>
              <w:t xml:space="preserve">Academic year </w:t>
            </w:r>
          </w:p>
          <w:p w:rsidR="00000000" w:rsidDel="00000000" w:rsidP="00000000" w:rsidRDefault="00000000" w:rsidRPr="00000000" w14:paraId="00000011">
            <w:pPr>
              <w:widowControl w:val="0"/>
              <w:spacing w:line="360" w:lineRule="auto"/>
              <w:jc w:val="both"/>
              <w:rPr/>
            </w:pPr>
            <w:r w:rsidDel="00000000" w:rsidR="00000000" w:rsidRPr="00000000">
              <w:rPr>
                <w:rtl w:val="0"/>
              </w:rPr>
              <w:t xml:space="preserve">2023-2024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360" w:lineRule="auto"/>
              <w:jc w:val="both"/>
              <w:rPr/>
            </w:pPr>
            <w:r w:rsidDel="00000000" w:rsidR="00000000" w:rsidRPr="00000000">
              <w:rPr>
                <w:rtl w:val="0"/>
              </w:rPr>
              <w:t xml:space="preserve">Total spent: £</w:t>
            </w:r>
            <w:r w:rsidDel="00000000" w:rsidR="00000000" w:rsidRPr="00000000">
              <w:rPr>
                <w:highlight w:val="white"/>
                <w:rtl w:val="0"/>
              </w:rPr>
              <w:t xml:space="preserve">11,600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360" w:lineRule="auto"/>
              <w:jc w:val="both"/>
              <w:rPr/>
            </w:pPr>
            <w:r w:rsidDel="00000000" w:rsidR="00000000" w:rsidRPr="00000000">
              <w:rPr>
                <w:rtl w:val="0"/>
              </w:rPr>
              <w:t xml:space="preserve">Number of pupils: 165</w:t>
            </w:r>
          </w:p>
        </w:tc>
      </w:tr>
    </w:tbl>
    <w:p w:rsidR="00000000" w:rsidDel="00000000" w:rsidP="00000000" w:rsidRDefault="00000000" w:rsidRPr="00000000" w14:paraId="00000014">
      <w:pPr>
        <w:shd w:fill="ffffff" w:val="clear"/>
        <w:spacing w:after="280" w:before="280" w:line="360" w:lineRule="auto"/>
        <w:jc w:val="both"/>
        <w:rPr>
          <w:b w:val="1"/>
        </w:rPr>
      </w:pP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color w:val="222222"/>
          <w:highlight w:val="white"/>
          <w:rtl w:val="0"/>
        </w:rPr>
        <w:t xml:space="preserve">The 2023-2024 Curriculum Recovery Tuition Fund, 16-19, was used to purchase a subscription for every pupil in Y12 (lasting two years) and every pupil in Y13 (lasting one year).   who was studying Maths, economics, Psychology, Chemistry, Physics and Biology.   The curriculum support platform is provided by Uplearn and gives students access to practice questions relating to their syllabus and self-checking questions which allow them to review their learning and identify gaps in their understanding. The number of pupils who have benefited from this additional support is 165 pupils, 75% of the total Sixth Form cohort.  This subscription helps pupils in need of curriculum support and allows them to consolidate their knowledge and understanding of these subjects.  At the same time, it provides support to as wide a group of students as possible whose curriculum progress is also supported.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