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8811" w14:textId="77777777" w:rsidR="0053144C" w:rsidRDefault="00AA6F07">
      <w:pPr>
        <w:rPr>
          <w:b/>
          <w:sz w:val="34"/>
          <w:szCs w:val="34"/>
        </w:rPr>
      </w:pPr>
      <w:r>
        <w:rPr>
          <w:b/>
          <w:sz w:val="34"/>
          <w:szCs w:val="34"/>
        </w:rPr>
        <w:t>COVID-19 catch-up premium report</w:t>
      </w:r>
    </w:p>
    <w:p w14:paraId="6C119C69" w14:textId="77777777" w:rsidR="0053144C" w:rsidRDefault="0053144C">
      <w:pPr>
        <w:rPr>
          <w:b/>
          <w:sz w:val="20"/>
          <w:szCs w:val="20"/>
        </w:rPr>
      </w:pPr>
    </w:p>
    <w:p w14:paraId="7AAA56BD" w14:textId="77777777" w:rsidR="0053144C" w:rsidRDefault="0053144C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3144C" w14:paraId="7BFF53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8578" w14:textId="77777777" w:rsidR="0053144C" w:rsidRDefault="00AA6F07">
            <w:pPr>
              <w:jc w:val="center"/>
            </w:pPr>
            <w:r>
              <w:rPr>
                <w:b/>
              </w:rPr>
              <w:t xml:space="preserve">Mission statement for the Recovery </w:t>
            </w:r>
            <w:proofErr w:type="gramStart"/>
            <w:r>
              <w:rPr>
                <w:b/>
              </w:rPr>
              <w:t>Curriculum :</w:t>
            </w:r>
            <w:proofErr w:type="gramEnd"/>
            <w:r>
              <w:t xml:space="preserve"> </w:t>
            </w:r>
          </w:p>
          <w:p w14:paraId="54E353B0" w14:textId="77777777" w:rsidR="0053144C" w:rsidRDefault="00AA6F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Recovery Curriculum promotes safety, a sense of calm, a sense of self and collective efficacy, a sense of connectedness and a sense of hope.</w:t>
            </w:r>
          </w:p>
          <w:p w14:paraId="300E73F6" w14:textId="77777777" w:rsidR="0053144C" w:rsidRDefault="00AA6F07">
            <w:r>
              <w:t xml:space="preserve">These ideas are at the centre of the programme as we believe that “catch up” at St Michaels encompasses a wide </w:t>
            </w:r>
            <w:r>
              <w:t>range of needs.</w:t>
            </w:r>
          </w:p>
          <w:p w14:paraId="358362DC" w14:textId="77777777" w:rsidR="0053144C" w:rsidRDefault="00AA6F07">
            <w:r>
              <w:t>i/ Teachers were asked to discuss in departments which students appeared to be struggling with attention/engagement/focus/attainment, and to select students who they felt would benefit from small group intervention. This was never about giv</w:t>
            </w:r>
            <w:r>
              <w:t xml:space="preserve">ing extra tutoring to those “weaker” students that exist across all cohorts, but about providing support and encouragement to those who found lockdown challenging in a number of ways. </w:t>
            </w:r>
          </w:p>
          <w:p w14:paraId="0C745822" w14:textId="77777777" w:rsidR="0053144C" w:rsidRDefault="00AA6F07">
            <w:r>
              <w:t>ii/ A year 7 homework club was set up</w:t>
            </w:r>
          </w:p>
          <w:p w14:paraId="6665CB65" w14:textId="77777777" w:rsidR="0053144C" w:rsidRDefault="00AA6F07">
            <w:r>
              <w:t>iii/ A Y11 multidisciplinary grou</w:t>
            </w:r>
            <w:r>
              <w:t xml:space="preserve">p ran (20/21) focussing primarily on </w:t>
            </w:r>
            <w:proofErr w:type="gramStart"/>
            <w:r>
              <w:t>science based</w:t>
            </w:r>
            <w:proofErr w:type="gramEnd"/>
            <w:r>
              <w:t xml:space="preserve"> subjects but also social skills</w:t>
            </w:r>
          </w:p>
          <w:p w14:paraId="6A38C0A0" w14:textId="77777777" w:rsidR="0053144C" w:rsidRDefault="00AA6F07">
            <w:r>
              <w:t>iv/ An extra student support worker was employed over the lockdown period to engage with those students struggling at home.</w:t>
            </w:r>
          </w:p>
          <w:p w14:paraId="1E429949" w14:textId="77777777" w:rsidR="0053144C" w:rsidRDefault="00AA6F07">
            <w:r>
              <w:t>v/ In addition a range of resources (including Ch</w:t>
            </w:r>
            <w:r>
              <w:t>romebooks) were purchased to enhance the learning experience of all the students in St Michael’s</w:t>
            </w:r>
          </w:p>
        </w:tc>
      </w:tr>
      <w:tr w:rsidR="0053144C" w14:paraId="3CE87F3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730C" w14:textId="77777777" w:rsidR="0053144C" w:rsidRDefault="00AA6F07">
            <w:pPr>
              <w:rPr>
                <w:b/>
              </w:rPr>
            </w:pPr>
            <w:r>
              <w:rPr>
                <w:b/>
              </w:rPr>
              <w:t>Total funding received:</w:t>
            </w:r>
          </w:p>
          <w:p w14:paraId="63D255D2" w14:textId="77777777" w:rsidR="0053144C" w:rsidRDefault="00AA6F07">
            <w:r>
              <w:rPr>
                <w:b/>
              </w:rPr>
              <w:t xml:space="preserve">20/21: </w:t>
            </w:r>
            <w:r>
              <w:t>£25,300</w:t>
            </w:r>
          </w:p>
          <w:p w14:paraId="1733378D" w14:textId="77777777" w:rsidR="0053144C" w:rsidRDefault="00AA6F07">
            <w:r>
              <w:rPr>
                <w:b/>
              </w:rPr>
              <w:t xml:space="preserve">21/22: </w:t>
            </w:r>
            <w:r>
              <w:t>£21,250</w:t>
            </w:r>
          </w:p>
          <w:p w14:paraId="22E6E308" w14:textId="77777777" w:rsidR="0053144C" w:rsidRDefault="0053144C">
            <w:pPr>
              <w:rPr>
                <w:b/>
              </w:rPr>
            </w:pPr>
          </w:p>
          <w:p w14:paraId="0EA07656" w14:textId="77777777" w:rsidR="0053144C" w:rsidRDefault="00AA6F07">
            <w:r>
              <w:rPr>
                <w:b/>
              </w:rPr>
              <w:t xml:space="preserve">Total: </w:t>
            </w:r>
            <w:r>
              <w:t>£46,550</w:t>
            </w:r>
          </w:p>
        </w:tc>
      </w:tr>
      <w:tr w:rsidR="0053144C" w14:paraId="441D5F0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F669" w14:textId="77777777" w:rsidR="0053144C" w:rsidRDefault="00AA6F07">
            <w:pPr>
              <w:rPr>
                <w:b/>
              </w:rPr>
            </w:pPr>
            <w:r>
              <w:rPr>
                <w:b/>
              </w:rPr>
              <w:t>Expenditure:</w:t>
            </w:r>
          </w:p>
          <w:p w14:paraId="424DF209" w14:textId="77777777" w:rsidR="0053144C" w:rsidRDefault="0053144C">
            <w:pPr>
              <w:rPr>
                <w:b/>
              </w:rPr>
            </w:pPr>
          </w:p>
          <w:p w14:paraId="434B1F95" w14:textId="77777777" w:rsidR="0053144C" w:rsidRDefault="00AA6F07">
            <w:pPr>
              <w:rPr>
                <w:b/>
              </w:rPr>
            </w:pPr>
            <w:r>
              <w:rPr>
                <w:b/>
              </w:rPr>
              <w:t>Payments to teachers for Catch-up lessons/Homework Club/ Multidisciplinary:</w:t>
            </w:r>
          </w:p>
          <w:p w14:paraId="34076894" w14:textId="77777777" w:rsidR="0053144C" w:rsidRDefault="00AA6F07">
            <w:r>
              <w:rPr>
                <w:b/>
              </w:rPr>
              <w:t xml:space="preserve"> </w:t>
            </w:r>
            <w:r>
              <w:t>£19, 659.85</w:t>
            </w:r>
          </w:p>
          <w:p w14:paraId="1B43BA41" w14:textId="77777777" w:rsidR="0053144C" w:rsidRDefault="00AA6F07">
            <w:r>
              <w:rPr>
                <w:b/>
              </w:rPr>
              <w:t xml:space="preserve">Additional FLA: </w:t>
            </w:r>
            <w:r>
              <w:t>£13,561</w:t>
            </w:r>
          </w:p>
          <w:p w14:paraId="104D03D7" w14:textId="77777777" w:rsidR="0053144C" w:rsidRDefault="00AA6F07">
            <w:r>
              <w:rPr>
                <w:b/>
              </w:rPr>
              <w:t xml:space="preserve">Student support: </w:t>
            </w:r>
            <w:r>
              <w:t>£2026.14</w:t>
            </w:r>
          </w:p>
          <w:p w14:paraId="759919BB" w14:textId="77777777" w:rsidR="0053144C" w:rsidRDefault="00AA6F07">
            <w:r>
              <w:rPr>
                <w:b/>
              </w:rPr>
              <w:t xml:space="preserve">Resources: </w:t>
            </w:r>
            <w:r>
              <w:t>£11,300</w:t>
            </w:r>
          </w:p>
          <w:p w14:paraId="0D7D17D8" w14:textId="77777777" w:rsidR="0053144C" w:rsidRDefault="0053144C"/>
          <w:p w14:paraId="13086528" w14:textId="77777777" w:rsidR="0053144C" w:rsidRDefault="00AA6F07">
            <w:r>
              <w:rPr>
                <w:b/>
              </w:rPr>
              <w:t xml:space="preserve">Total: </w:t>
            </w:r>
            <w:r>
              <w:t>£46,546.99</w:t>
            </w:r>
          </w:p>
        </w:tc>
      </w:tr>
      <w:tr w:rsidR="0053144C" w14:paraId="4AA81DA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BC41" w14:textId="77777777" w:rsidR="0053144C" w:rsidRDefault="00AA6F07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  <w:p w14:paraId="16E9D73E" w14:textId="77777777" w:rsidR="0053144C" w:rsidRDefault="0053144C">
            <w:pPr>
              <w:rPr>
                <w:b/>
              </w:rPr>
            </w:pPr>
          </w:p>
          <w:p w14:paraId="23F31FE5" w14:textId="77777777" w:rsidR="0053144C" w:rsidRDefault="00AA6F07">
            <w:pPr>
              <w:numPr>
                <w:ilvl w:val="0"/>
                <w:numId w:val="2"/>
              </w:numPr>
            </w:pPr>
            <w:r>
              <w:t>Access for targeted students to get small group interventio</w:t>
            </w:r>
            <w:r>
              <w:t>n</w:t>
            </w:r>
          </w:p>
          <w:p w14:paraId="411B5AC6" w14:textId="77777777" w:rsidR="0053144C" w:rsidRDefault="00AA6F07">
            <w:pPr>
              <w:numPr>
                <w:ilvl w:val="0"/>
                <w:numId w:val="2"/>
              </w:numPr>
            </w:pPr>
            <w:r>
              <w:t>Students targeted had to attend at least 90% of the sessions</w:t>
            </w:r>
          </w:p>
          <w:p w14:paraId="51763BD0" w14:textId="77777777" w:rsidR="0053144C" w:rsidRDefault="00AA6F07">
            <w:pPr>
              <w:numPr>
                <w:ilvl w:val="0"/>
                <w:numId w:val="2"/>
              </w:numPr>
            </w:pPr>
            <w:r>
              <w:t>Targeted students in touch with student support over lockdown to ensure safety, self-esteem and engagement</w:t>
            </w:r>
          </w:p>
          <w:p w14:paraId="3FE18B41" w14:textId="77777777" w:rsidR="0053144C" w:rsidRDefault="00AA6F07">
            <w:pPr>
              <w:numPr>
                <w:ilvl w:val="0"/>
                <w:numId w:val="2"/>
              </w:numPr>
            </w:pPr>
            <w:r>
              <w:lastRenderedPageBreak/>
              <w:t>All students have the necessary resources to access remote learning and improve engage</w:t>
            </w:r>
            <w:r>
              <w:t>ment in school</w:t>
            </w:r>
          </w:p>
        </w:tc>
      </w:tr>
      <w:tr w:rsidR="0053144C" w14:paraId="4C88A9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2566" w14:textId="77777777" w:rsidR="0053144C" w:rsidRDefault="00AA6F07">
            <w:pPr>
              <w:rPr>
                <w:b/>
              </w:rPr>
            </w:pPr>
            <w:r>
              <w:rPr>
                <w:b/>
              </w:rPr>
              <w:lastRenderedPageBreak/>
              <w:t>Evaluation:</w:t>
            </w:r>
          </w:p>
          <w:p w14:paraId="6B558774" w14:textId="77777777" w:rsidR="0053144C" w:rsidRDefault="0053144C">
            <w:pPr>
              <w:rPr>
                <w:b/>
              </w:rPr>
            </w:pPr>
          </w:p>
          <w:p w14:paraId="4B3A5F55" w14:textId="77777777" w:rsidR="0053144C" w:rsidRDefault="00AA6F07">
            <w:pPr>
              <w:numPr>
                <w:ilvl w:val="0"/>
                <w:numId w:val="1"/>
              </w:numPr>
            </w:pPr>
            <w:r>
              <w:rPr>
                <w:b/>
              </w:rPr>
              <w:t>362</w:t>
            </w:r>
            <w:r>
              <w:t xml:space="preserve"> students took part in small group interventions in 20/21 with </w:t>
            </w:r>
            <w:r>
              <w:rPr>
                <w:b/>
              </w:rPr>
              <w:t>13</w:t>
            </w:r>
            <w:r>
              <w:t xml:space="preserve"> depts across the school contributing. In many cases teachers reported an improvement of up to two grades for some students. </w:t>
            </w:r>
          </w:p>
          <w:p w14:paraId="196812D4" w14:textId="77777777" w:rsidR="0053144C" w:rsidRDefault="00AA6F07">
            <w:pPr>
              <w:numPr>
                <w:ilvl w:val="0"/>
                <w:numId w:val="1"/>
              </w:numPr>
            </w:pPr>
            <w:r>
              <w:t>Attendance records showed that the average attendance and engagement of students was higher than the target.</w:t>
            </w:r>
          </w:p>
          <w:p w14:paraId="48A7056A" w14:textId="77777777" w:rsidR="0053144C" w:rsidRDefault="00AA6F07">
            <w:pPr>
              <w:numPr>
                <w:ilvl w:val="0"/>
                <w:numId w:val="1"/>
              </w:numPr>
            </w:pPr>
            <w:r>
              <w:t>Records show that our most vulnerable students were contacted regularly over the lockdown periods and still felt “connected” although not actually present in school.</w:t>
            </w:r>
          </w:p>
          <w:p w14:paraId="4A878867" w14:textId="77777777" w:rsidR="0053144C" w:rsidRDefault="00AA6F07">
            <w:pPr>
              <w:numPr>
                <w:ilvl w:val="0"/>
                <w:numId w:val="1"/>
              </w:numPr>
            </w:pPr>
            <w:r>
              <w:t>Chromebooks/laptops were provided to all students in need to ensure they could fully acces</w:t>
            </w:r>
            <w:r>
              <w:t>s remote education. On returning to school all students were provided with mini whiteboards and pens - both students and staff have reported that this really helped.</w:t>
            </w:r>
          </w:p>
        </w:tc>
      </w:tr>
    </w:tbl>
    <w:p w14:paraId="31DCEFF8" w14:textId="77777777" w:rsidR="0053144C" w:rsidRDefault="0053144C">
      <w:pPr>
        <w:rPr>
          <w:sz w:val="20"/>
          <w:szCs w:val="20"/>
        </w:rPr>
      </w:pPr>
    </w:p>
    <w:sectPr w:rsidR="00531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DBD"/>
    <w:multiLevelType w:val="multilevel"/>
    <w:tmpl w:val="83D06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0A0236"/>
    <w:multiLevelType w:val="multilevel"/>
    <w:tmpl w:val="04DCF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6929847">
    <w:abstractNumId w:val="1"/>
  </w:num>
  <w:num w:numId="2" w16cid:durableId="5577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4C"/>
    <w:rsid w:val="0053144C"/>
    <w:rsid w:val="00A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FD00"/>
  <w15:docId w15:val="{859410FE-7420-4199-BFDC-BD52942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 Johncock</cp:lastModifiedBy>
  <cp:revision>2</cp:revision>
  <dcterms:created xsi:type="dcterms:W3CDTF">2022-07-19T09:21:00Z</dcterms:created>
  <dcterms:modified xsi:type="dcterms:W3CDTF">2022-07-19T09:21:00Z</dcterms:modified>
</cp:coreProperties>
</file>